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18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 2016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75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75"/>
        <w:tblGridChange w:id="0">
          <w:tblGrid>
            <w:gridCol w:w="9375"/>
          </w:tblGrid>
        </w:tblGridChange>
      </w:tblGrid>
      <w:tr>
        <w:trPr>
          <w:trHeight w:val="340" w:hRule="atLeast"/>
        </w:trPr>
        <w:tc>
          <w:tcPr>
            <w:shd w:fill="c2d69b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Attendees</w:t>
            </w:r>
          </w:p>
        </w:tc>
      </w:tr>
      <w:tr>
        <w:trPr>
          <w:trHeight w:val="34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CSF Committee: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Colin, Maika, Lauren, Brian, Keanu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Carolyn, Sierramatice</w:t>
            </w:r>
          </w:p>
        </w:tc>
      </w:tr>
      <w:tr>
        <w:trPr>
          <w:trHeight w:val="360" w:hRule="atLeast"/>
        </w:trPr>
        <w:tc>
          <w:tcPr>
            <w:shd w:fill="d7e3bc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Molly, Chris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5/18/16 Agenda and 5/11/16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50 min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Full Project Proposals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8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Penguins?,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Colin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5/18/16 Agenda –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5/11/16 Minutes –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Greenhouse: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Seems in direct violation of our mission, there are no students involved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But this is based off of a previously approved project that was initiated by students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ranked low on student involvement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They have given a good faith commitment to involve students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we support it, does it become large project, so can we pull from large project fund? </w:t>
        <w:tab/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Up to us to decide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we decide not to move forward we can rescind funds to use on future projects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He’s been actively been pursuing our suggestions for student involvement since his presentation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This currently is not a student led project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 can approve project contingent upon meeting certain student involvement goal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there capacity for student to take the lead at this point? Or is it up to engineering firms at this point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Are we funding projects that the UW should be funding in general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urgent is this? If it got pushed off to next funding cycle would that be too late? 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Probably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There are no external sources of funding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Questions to ask: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very specific plan on undergrad and grad involvement.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Deadline for decision?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SER-UW Improvements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Initial concern for tuition funding. Probably need to discuss this topic further. Funding another student’s tuition with student fees is not within our mission/goals/spirit.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Considering such a large commitment in personnel, might break down into 1 position as opposed to 2, depending on funds available.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Some of this and the UW Farms proposal contains research, but they do have actionable components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benchmark tends to be the actionable component. It’s not for graduate projects, etc. But if it’s associated with a specific project of fulfilling goals, it can fall within the scope.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than tuition, it’s a great project and they are developing their resources the best they can.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Electronic Waste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biggest comment was re: ipads.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also asked for stipend, which was a bit hefty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need to verify student status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be find funding material goods, could have a big impact, but should express concerns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Contingency: No stipend, l</w:t>
      </w:r>
      <w:r w:rsidDel="00000000" w:rsidR="00000000" w:rsidRPr="00000000">
        <w:rPr>
          <w:rtl w:val="0"/>
        </w:rPr>
        <w:t xml:space="preserve">ooking for refurbished ipads (price them)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Aquaculture Phase II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It’s super exciting that they have found a way to grow something and actually get shellfish in the campus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tuition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Concern with distance from campus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Has a lot of potential for educational use for other classes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fall under license of partner groups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</w:t>
      </w:r>
      <w:r w:rsidDel="00000000" w:rsidR="00000000" w:rsidRPr="00000000">
        <w:rPr>
          <w:rtl w:val="0"/>
        </w:rPr>
        <w:t xml:space="preserve">: Please provide grad student breakdown (hourly rate,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Edible Garden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Constructions high, but bed size looks significant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Haven’t sought donations for mate</w:t>
      </w:r>
      <w:r w:rsidDel="00000000" w:rsidR="00000000" w:rsidRPr="00000000">
        <w:rPr>
          <w:rtl w:val="0"/>
        </w:rPr>
        <w:t xml:space="preserve">rials. Would like to see buy-in from elsewhere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 :have you explored alternative funding sources/donations?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UW Farm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this a position that could be brought down to 10 hours and unpaid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We’ve funded the farm on a lot of projects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Feels like we’re funding farm on outreach and development, that are a piece of projects we have funded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ASUW Food Bulk Buying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end revised budget for capital projects- make sure that ASUW can fund the food portion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Adjourn - APPROVED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>
      <w:rFonts w:ascii="Cambria" w:cs="Cambria" w:eastAsia="Cambria" w:hAnsi="Cambria"/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