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Minutes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25, 2016 – 5:00 to 6:00 PM –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Carolyn, Colin, Maika, Lauren, Brian, Sierramatice, Keanu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Lyndsey, Molly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5/25/16 Agenda and 5/17/16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Vote on Full Project Proposals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5/25/16 Agenda –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5/17/16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Farm Intern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funding tuition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this go in the bylaws?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Edible Garden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Exploring alternative material reuse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Photography Through the Looking Glass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Awesome that it’s from a different department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would be cool if they used recycled materials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we share the photos?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we need rights?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ASUW Food CoOp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 where our funding is going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food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Farm Intern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we fund student positions?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Tuition?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waste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Used vs. new ipads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Used can break sooner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we fund some new and some used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Smaller trial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Fewer ipads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stipends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happens to the ipads after the trial?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to have them come up with a couple different plans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be donated 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CSF?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SAF?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Greenhouse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Still not enough student involvement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should be involved in the grant writing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Final decisions are still made by the professionals working on the project, not students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Lacking student leadership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should communicate better what student leadership means to us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It’s a good environmental project - good benefits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need an answer by June 15th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university should fund university infrastructure; we fund students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Might be more expensive to implement after construction has already happened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Covers design cost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we add a stipulation?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approve Through the Looking Glass with the recommendation to use recycled materials, ASUW Food CoOp toward capital costs, and the Edible Garden in full -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approve SER-UW without tuition funding, Aquaculture without tuition funding  -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approve electronic waste displays without the student stipend and for 6 used or refurbished ipads (no new ipads) and the ipads must be returned to the CSF for distribution back to the university - APPROVED - Keanu abstained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Farm and Greenhouse tabled until next week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Adjournment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