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Date: 18th April 2023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Time: 6 - 7pm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Attendees: Neha, Sohara, Lauren, Esha, Nat, Emmy, Tava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General updates: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Resilience Seed Grant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Applications</w:t>
        </w:r>
      </w:hyperlink>
      <w:r w:rsidDel="00000000" w:rsidR="00000000" w:rsidRPr="00000000">
        <w:rPr>
          <w:rtl w:val="0"/>
        </w:rPr>
        <w:t xml:space="preserve"> are still open (closing April 30). Grants of up to 5000 USD will be offered. Committee is urged to spread the word.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Veggie fest is next Saturday from 5pm to 7pm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Deliberation on Keraton - overall strong proposal but budget needs to be amended.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UDub solar resiliency tunnel - The committee voted unanimously in favor of passing it.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of personal and collective goals - committee members were asked what experiences would make CSF engagement more enriching. 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  <w:t xml:space="preserve">- In person socials for committee members (e.g. lunch in quad under cherry blossom!)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  <w:t xml:space="preserve">- Mini grant recipients can deliver live presentations before and after events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  <w:t xml:space="preserve">- CSF team could go visit some of the projects we are funding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  <w:t xml:space="preserve">- The team can attend RSO meetings to present opportunities/events associated with CSF so that the greater UW community is more aware of CSF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- Knowing more about what committee students are doing outside of the committee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- Invest in committee members skill building (e.g. greenhouse gas accounting course) that would contribute to professional development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5943600" cy="364712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783" l="0" r="0" t="3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ellbeing.uw.edu/resilience-lab/seed-grants/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